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bookmarkStart w:id="0" w:name="_GoBack"/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 xml:space="preserve">AI 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在中小學的教與學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  <w:bookmarkEnd w:id="0"/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日臺教資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6379C4">
        <w:rPr>
          <w:rFonts w:ascii="標楷體" w:eastAsia="標楷體" w:hAnsi="標楷體" w:hint="eastAsia"/>
          <w:color w:val="000000"/>
        </w:rPr>
        <w:t>資訊教師AI人工智慧相關知能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6379C4" w:rsidRPr="006379C4" w:rsidRDefault="006379C4" w:rsidP="00D41C41">
      <w:pPr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三、推廣中小學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課程融入教學，厚植國家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競爭力。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maiminf</w:t>
      </w:r>
    </w:p>
    <w:p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osmtfjrkgz</w:t>
      </w:r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24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6379C4">
              <w:rPr>
                <w:rFonts w:ascii="Times New Roman" w:eastAsia="標楷體" w:hAnsi="Times New Roman"/>
                <w:bCs/>
                <w:color w:val="000000"/>
                <w:szCs w:val="24"/>
              </w:rPr>
              <w:t>24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6379C4" w:rsidRPr="006379C4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尋找答案的小學教師之旅</w:t>
            </w:r>
          </w:p>
          <w:p w:rsidR="00BE6BC1" w:rsidRPr="006B4CDF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探索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教育與教育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</w:t>
            </w:r>
          </w:p>
        </w:tc>
        <w:tc>
          <w:tcPr>
            <w:tcW w:w="2835" w:type="dxa"/>
            <w:vAlign w:val="center"/>
          </w:tcPr>
          <w:p w:rsidR="00D41C41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人工智慧概覽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三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各類型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軟體、硬體與雲端服務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lastRenderedPageBreak/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教學工具實作與活動設計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對教學奇點的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想望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柒、活動報名方法：請逕至全國教師在職進修網報名，報名人數額滿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924CA1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A6725D" w:rsidRPr="00FF72B1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2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https://classroom.google.com/c/Mzc0MzgzNDU0ODQx?cjc=maiminf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24classroo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4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https://meet.google.com/osm-tfjr-kgz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824mee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DA06B0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24</w:t>
            </w:r>
          </w:p>
          <w:p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762F40" w:rsidRPr="00FF72B1" w:rsidRDefault="0033392D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2" w:history="1">
              <w:r w:rsidR="00A6725D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https://youtu.be/9z01geANOtI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762F40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824旁聽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511884" w:rsidRPr="00FF72B1" w:rsidRDefault="0033392D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4" w:history="1">
              <w:r w:rsidR="00A6725D" w:rsidRPr="00A6725D">
                <w:rPr>
                  <w:rStyle w:val="ac"/>
                  <w:rFonts w:ascii="Times New Roman" w:eastAsia="標楷體" w:hAnsi="Times New Roman"/>
                </w:rPr>
                <w:t>https://youtu.be/-d6lVH8_lfE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511884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825旁聽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2D" w:rsidRDefault="0033392D" w:rsidP="00104988">
      <w:r>
        <w:separator/>
      </w:r>
    </w:p>
  </w:endnote>
  <w:endnote w:type="continuationSeparator" w:id="0">
    <w:p w:rsidR="0033392D" w:rsidRDefault="0033392D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2D" w:rsidRDefault="0033392D" w:rsidP="00104988">
      <w:r>
        <w:separator/>
      </w:r>
    </w:p>
  </w:footnote>
  <w:footnote w:type="continuationSeparator" w:id="0">
    <w:p w:rsidR="0033392D" w:rsidRDefault="0033392D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3349C"/>
    <w:rsid w:val="00052451"/>
    <w:rsid w:val="00052B1E"/>
    <w:rsid w:val="00053847"/>
    <w:rsid w:val="00067B0E"/>
    <w:rsid w:val="000822DC"/>
    <w:rsid w:val="000D0E63"/>
    <w:rsid w:val="000D0F50"/>
    <w:rsid w:val="000D60F6"/>
    <w:rsid w:val="000E422E"/>
    <w:rsid w:val="000E6C62"/>
    <w:rsid w:val="000F283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5A77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3392D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45C3F"/>
    <w:rsid w:val="0055526A"/>
    <w:rsid w:val="005C036F"/>
    <w:rsid w:val="005C4EDE"/>
    <w:rsid w:val="00604208"/>
    <w:rsid w:val="0063696C"/>
    <w:rsid w:val="006379C4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6725D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itedu.gm.ptc.edu.t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classroom.google.com/c/Mzc0MzgzNDU0ODQx?cjc=maiminf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gm.ptc.edu.tw/onlinelearning/" TargetMode="External"/><Relationship Id="rId20" Type="http://schemas.openxmlformats.org/officeDocument/2006/relationships/hyperlink" Target="https://www.youtube.com/channel/UCBn-q7ZJCxBELKCjoCcqoZ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hyperlink" Target="https://youtu.be/-d6lVH8_lf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.google.com/osm-tfjr-kgz" TargetMode="External"/><Relationship Id="rId22" Type="http://schemas.openxmlformats.org/officeDocument/2006/relationships/hyperlink" Target="https://youtu.be/9z01geANOt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88</cp:lastModifiedBy>
  <cp:revision>2</cp:revision>
  <cp:lastPrinted>2021-06-25T01:30:00Z</cp:lastPrinted>
  <dcterms:created xsi:type="dcterms:W3CDTF">2021-08-12T04:28:00Z</dcterms:created>
  <dcterms:modified xsi:type="dcterms:W3CDTF">2021-08-12T04:28:00Z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